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bookmarkStart w:colFirst="0" w:colLast="0" w:name="bookmark=id.ggbixjcq4795" w:id="0"/>
    <w:bookmarkEnd w:id="0"/>
    <w:p w:rsidR="00000000" w:rsidDel="00000000" w:rsidP="00000000" w:rsidRDefault="00000000" w:rsidRPr="00000000" w14:paraId="00000001">
      <w:pPr>
        <w:pStyle w:val="Heading1"/>
        <w:spacing w:after="0" w:before="0" w:line="276" w:lineRule="auto"/>
        <w:rPr>
          <w:b w:val="1"/>
          <w:bCs w:val="1"/>
        </w:rPr>
      </w:pPr>
      <w:r w:rsidDel="00000000" w:rsidR="00000000" w:rsidRPr="00000000">
        <w:rPr>
          <w:b w:val="1"/>
          <w:bCs w:val="1"/>
          <w:rtl w:val="0"/>
        </w:rPr>
        <w:t xml:space="preserve">RELAZIONE DI COERENZA NORMATIVA</w:t>
      </w:r>
    </w:p>
    <w:p w:rsidR="00000000" w:rsidDel="00000000" w:rsidP="00000000" w:rsidRDefault="00000000" w:rsidRPr="00000000" w14:paraId="00000002">
      <w:pPr>
        <w:spacing w:after="0" w:before="0" w:line="276" w:lineRule="auto"/>
        <w:rPr/>
      </w:pPr>
      <w:r w:rsidDel="00000000" w:rsidR="00000000" w:rsidRPr="00000000">
        <w:rPr>
          <w:rtl w:val="0"/>
        </w:rPr>
      </w:r>
    </w:p>
    <w:p w:rsidR="00000000" w:rsidDel="00000000" w:rsidP="00000000" w:rsidRDefault="00000000" w:rsidRPr="00000000" w14:paraId="00000003">
      <w:pPr>
        <w:pStyle w:val="Heading3"/>
        <w:spacing w:after="0" w:before="0" w:line="276" w:lineRule="auto"/>
        <w:rPr/>
      </w:pPr>
      <w:bookmarkStart w:colFirst="0" w:colLast="0" w:name="_heading=h.ka3nk3hq1mju" w:id="2"/>
      <w:bookmarkEnd w:id="2"/>
      <w:r w:rsidDel="00000000" w:rsidR="00000000" w:rsidRPr="00000000">
        <w:rPr>
          <w:b w:val="1"/>
          <w:bCs w:val="1"/>
          <w:rtl w:val="0"/>
        </w:rPr>
        <w:t xml:space="preserve">Intervento Riqualificazione</w:t>
      </w:r>
      <w:bookmarkStart w:colFirst="0" w:colLast="0" w:name="bookmark=kix.9rartfu64l1u" w:id="1"/>
      <w:bookmarkEnd w:id="1"/>
      <w:r w:rsidDel="00000000" w:rsidR="00000000" w:rsidRPr="00000000">
        <w:rPr>
          <w:b w:val="1"/>
          <w:bCs w:val="1"/>
          <w:rtl w:val="0"/>
        </w:rPr>
        <w:t xml:space="preserve"> Spogliatoi – Palazzetto dello Sport “Palaverde” Comune di Passirano</w:t>
      </w:r>
      <w:r w:rsidDel="00000000" w:rsidR="00000000" w:rsidRPr="00000000">
        <w:rPr>
          <w:rtl w:val="0"/>
        </w:rPr>
      </w:r>
    </w:p>
    <w:p w:rsidR="00000000" w:rsidDel="00000000" w:rsidP="00000000" w:rsidRDefault="00000000" w:rsidRPr="00000000" w14:paraId="00000004">
      <w:pPr>
        <w:spacing w:after="0" w:before="0" w:line="276" w:lineRule="auto"/>
        <w:rPr>
          <w:sz w:val="28"/>
          <w:szCs w:val="28"/>
        </w:rPr>
      </w:pPr>
      <w:r w:rsidDel="00000000" w:rsidR="00000000" w:rsidRPr="00000000">
        <w:rPr>
          <w:b w:val="1"/>
          <w:bCs w:val="1"/>
          <w:sz w:val="28"/>
          <w:szCs w:val="28"/>
          <w:rtl w:val="0"/>
        </w:rPr>
        <w:t xml:space="preserve">Proponente:</w:t>
      </w:r>
      <w:r w:rsidDel="00000000" w:rsidR="00000000" w:rsidRPr="00000000">
        <w:rPr>
          <w:sz w:val="28"/>
          <w:szCs w:val="28"/>
          <w:rtl w:val="0"/>
        </w:rPr>
        <w:t xml:space="preserve"> ASD Dinamica Pensare Sport</w:t>
        <w:br w:type="textWrapping"/>
      </w:r>
      <w:bookmarkStart w:colFirst="0" w:colLast="0" w:name="bookmark=kix.j05ib7uh1fyv" w:id="3"/>
      <w:bookmarkEnd w:id="3"/>
      <w:r w:rsidDel="00000000" w:rsidR="00000000" w:rsidRPr="00000000">
        <w:rPr>
          <w:b w:val="1"/>
          <w:bCs w:val="1"/>
          <w:sz w:val="28"/>
          <w:szCs w:val="28"/>
          <w:rtl w:val="0"/>
        </w:rPr>
        <w:t xml:space="preserve">Riferimenti:</w:t>
      </w:r>
      <w:r w:rsidDel="00000000" w:rsidR="00000000" w:rsidRPr="00000000">
        <w:rPr>
          <w:rFonts w:ascii="Play" w:cs="Play" w:eastAsia="Play" w:hAnsi="Play"/>
          <w:color w:val="0f4761"/>
          <w:sz w:val="28"/>
          <w:szCs w:val="28"/>
          <w:rtl w:val="0"/>
        </w:rPr>
        <w:t xml:space="preserve"> </w:t>
      </w:r>
      <w:r w:rsidDel="00000000" w:rsidR="00000000" w:rsidRPr="00000000">
        <w:rPr>
          <w:sz w:val="28"/>
          <w:szCs w:val="28"/>
          <w:rtl w:val="0"/>
        </w:rPr>
        <w:t xml:space="preserve">D.Lgs. 38/2021 – Art. 5; D.Lgs. 36/2023 – Codice dei Contratti Pubblici</w:t>
      </w:r>
      <w:r w:rsidDel="00000000" w:rsidR="00000000" w:rsidRPr="00000000">
        <w:rPr>
          <w:rtl w:val="0"/>
        </w:rPr>
      </w:r>
    </w:p>
    <w:p w:rsidR="00000000" w:rsidDel="00000000" w:rsidP="00000000" w:rsidRDefault="00000000" w:rsidRPr="00000000" w14:paraId="00000005">
      <w:pPr>
        <w:pStyle w:val="Heading3"/>
        <w:spacing w:after="0" w:before="0" w:line="276" w:lineRule="auto"/>
        <w:rPr/>
      </w:pPr>
      <w:bookmarkStart w:colFirst="0" w:colLast="0" w:name="_heading=h.cheu28hddz4m" w:id="4"/>
      <w:bookmarkEnd w:id="4"/>
      <w:r w:rsidDel="00000000" w:rsidR="00000000" w:rsidRPr="00000000">
        <w:rPr>
          <w:rtl w:val="0"/>
        </w:rPr>
      </w:r>
    </w:p>
    <w:p w:rsidR="00000000" w:rsidDel="00000000" w:rsidP="00000000" w:rsidRDefault="00000000" w:rsidRPr="00000000" w14:paraId="00000006">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dyqmchlyde7x" w:id="5"/>
    <w:bookmarkEnd w:id="5"/>
    <w:p w:rsidR="00000000" w:rsidDel="00000000" w:rsidP="00000000" w:rsidRDefault="00000000" w:rsidRPr="00000000" w14:paraId="00000007">
      <w:pPr>
        <w:pStyle w:val="Heading1"/>
        <w:spacing w:after="0" w:before="0" w:line="276" w:lineRule="auto"/>
        <w:rPr>
          <w:b w:val="1"/>
          <w:bCs w:val="1"/>
          <w:sz w:val="32"/>
          <w:szCs w:val="32"/>
        </w:rPr>
      </w:pPr>
      <w:r w:rsidDel="00000000" w:rsidR="00000000" w:rsidRPr="00000000">
        <w:rPr>
          <w:b w:val="1"/>
          <w:bCs w:val="1"/>
          <w:sz w:val="32"/>
          <w:szCs w:val="32"/>
          <w:rtl w:val="0"/>
        </w:rPr>
        <w:t xml:space="preserve">1. PREMESSA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presente Relazione di Coerenza Normativa è redatta ai sensi di quanto richiesto dal Comune di Passirano nell’ambito dell’adeguamento della proposta ex art. 5 D.Lgs. 38/2021. Essa ha lo scopo di dimostrare che:</w:t>
      </w:r>
    </w:p>
    <w:p w:rsidR="00000000" w:rsidDel="00000000" w:rsidP="00000000" w:rsidRDefault="00000000" w:rsidRPr="00000000" w14:paraId="000000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l’intervento proposto dall’ASD Dinamica Pensare Sport rientra pienamente nelle previsioni normative vigenti;</w:t>
      </w:r>
    </w:p>
    <w:p w:rsidR="00000000" w:rsidDel="00000000" w:rsidP="00000000" w:rsidRDefault="00000000" w:rsidRPr="00000000" w14:paraId="000000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progetto è compatibile con il modello di partenariato pubblico-privato previsto per gli impianti sportivi;</w:t>
      </w:r>
    </w:p>
    <w:p w:rsidR="00000000" w:rsidDel="00000000" w:rsidP="00000000" w:rsidRDefault="00000000" w:rsidRPr="00000000" w14:paraId="0000000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le modalità proposte rispettano il quadro regolatorio del D.Lgs. 36/2023 in materia di concessioni e lavori pubblici.</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relazione fornisce al Comune un quadro chiaro e trasparente sulla conformità della proposta.</w:t>
      </w:r>
    </w:p>
    <w:p w:rsidR="00000000" w:rsidDel="00000000" w:rsidP="00000000" w:rsidRDefault="00000000" w:rsidRPr="00000000" w14:paraId="0000000D">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mpyqvs1esg3m" w:id="6"/>
    <w:bookmarkEnd w:id="6"/>
    <w:p w:rsidR="00000000" w:rsidDel="00000000" w:rsidP="00000000" w:rsidRDefault="00000000" w:rsidRPr="00000000" w14:paraId="0000000E">
      <w:pPr>
        <w:pStyle w:val="Heading1"/>
        <w:spacing w:after="0" w:before="0" w:line="276" w:lineRule="auto"/>
        <w:rPr/>
      </w:pPr>
      <w:r w:rsidDel="00000000" w:rsidR="00000000" w:rsidRPr="00000000">
        <w:rPr>
          <w:b w:val="1"/>
          <w:bCs w:val="1"/>
          <w:sz w:val="32"/>
          <w:szCs w:val="32"/>
          <w:rtl w:val="0"/>
        </w:rPr>
        <w:t xml:space="preserve">2. INQUADRAMENTO NORMATIVO DI RIFERIMENTO</w:t>
      </w:r>
      <w:r w:rsidDel="00000000" w:rsidR="00000000" w:rsidRPr="00000000">
        <w:rPr>
          <w:rtl w:val="0"/>
        </w:rPr>
      </w:r>
    </w:p>
    <w:bookmarkStart w:colFirst="0" w:colLast="0" w:name="bookmark=id.2jftl68hk5zf" w:id="7"/>
    <w:bookmarkEnd w:id="7"/>
    <w:p w:rsidR="00000000" w:rsidDel="00000000" w:rsidP="00000000" w:rsidRDefault="00000000" w:rsidRPr="00000000" w14:paraId="0000000F">
      <w:pPr>
        <w:pStyle w:val="Heading2"/>
        <w:spacing w:after="0" w:before="0" w:line="276" w:lineRule="auto"/>
        <w:rPr>
          <w:sz w:val="28"/>
          <w:szCs w:val="28"/>
        </w:rPr>
      </w:pPr>
      <w:r w:rsidDel="00000000" w:rsidR="00000000" w:rsidRPr="00000000">
        <w:rPr>
          <w:sz w:val="28"/>
          <w:szCs w:val="28"/>
          <w:rtl w:val="0"/>
        </w:rPr>
        <w:t xml:space="preserve">2.1 D.Lgs. 38/2021 – Articolo 5</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D.Lgs. 38/2021 disciplina l’organizzazione e la realizzazione degli impianti sportivi, con particolare riguardo ai soggetti che possono proporre: </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interventi di costruzione; </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riqualificazione; </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ammodernamento;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efficientamento energetico.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fff2cc" w:val="clear"/>
          <w:vertAlign w:val="baseline"/>
        </w:rPr>
      </w:pPr>
      <w:r w:rsidDel="00000000" w:rsidR="00000000" w:rsidRPr="00000000">
        <w:rPr>
          <w:rtl w:val="0"/>
        </w:rPr>
        <w:t xml:space="preserve">L’articolo 5 del decreto stabilisce che le associazioni e le società sportive hanno un ruolo attivo nella gestione e nello sviluppo degli impianti sportivi pubblici. In particolare, possono presentare proposte per realizzare interventi sugli impianti esistenti, assumere la gestione delle strutture attraverso concessioni e partecipare ai progetti di riqualificazione e valorizzazione del patrimonio sportivo pubblico. In questo modo, il decreto favorisce una collaborazione diretta tra enti sportivi e amministrazioni pubbliche, promuovendo una gestione più efficiente e innovativa degli impianti.</w:t>
      </w:r>
      <w:r w:rsidDel="00000000" w:rsidR="00000000" w:rsidRPr="00000000">
        <w:rPr>
          <w:rtl w:val="0"/>
        </w:rPr>
      </w:r>
    </w:p>
    <w:bookmarkStart w:colFirst="0" w:colLast="0" w:name="bookmark=id.i837k3dtpni4" w:id="8"/>
    <w:bookmarkEnd w:id="8"/>
    <w:p w:rsidR="00000000" w:rsidDel="00000000" w:rsidP="00000000" w:rsidRDefault="00000000" w:rsidRPr="00000000" w14:paraId="00000016">
      <w:pPr>
        <w:pStyle w:val="Heading3"/>
        <w:spacing w:after="0" w:before="0" w:line="276" w:lineRule="auto"/>
        <w:rPr/>
      </w:pPr>
      <w:r w:rsidDel="00000000" w:rsidR="00000000" w:rsidRPr="00000000">
        <w:rPr>
          <w:rtl w:val="0"/>
        </w:rPr>
        <w:t xml:space="preserve">Coerenza dell’intervento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L’intervento di rifacimento spogliatoi rientra tra gli interventi di</w:t>
      </w:r>
      <w:r w:rsidDel="00000000" w:rsidR="00000000" w:rsidRPr="00000000">
        <w:rPr>
          <w:rtl w:val="0"/>
        </w:rPr>
        <w:t xml:space="preserve"> </w:t>
      </w:r>
      <w:r w:rsidDel="00000000" w:rsidR="00000000" w:rsidRPr="00000000">
        <w:rPr>
          <w:i w:val="0"/>
          <w:iCs w:val="0"/>
          <w:smallCaps w:val="0"/>
          <w:strike w:val="0"/>
          <w:color w:val="000000"/>
          <w:sz w:val="24"/>
          <w:szCs w:val="24"/>
          <w:u w:val="none"/>
          <w:shd w:fill="auto" w:val="clear"/>
          <w:vertAlign w:val="baseline"/>
          <w:rtl w:val="0"/>
        </w:rPr>
        <w:t xml:space="preserve">riqualificazione edilizia</w:t>
      </w:r>
      <w:r w:rsidDel="00000000" w:rsidR="00000000" w:rsidRPr="00000000">
        <w:rPr>
          <w:rtl w:val="0"/>
        </w:rPr>
        <w:t xml:space="preserve">, </w:t>
      </w:r>
      <w:r w:rsidDel="00000000" w:rsidR="00000000" w:rsidRPr="00000000">
        <w:rPr>
          <w:i w:val="0"/>
          <w:iCs w:val="0"/>
          <w:smallCaps w:val="0"/>
          <w:strike w:val="0"/>
          <w:color w:val="000000"/>
          <w:sz w:val="24"/>
          <w:szCs w:val="24"/>
          <w:u w:val="none"/>
          <w:shd w:fill="auto" w:val="clear"/>
          <w:vertAlign w:val="baseline"/>
          <w:rtl w:val="0"/>
        </w:rPr>
        <w:t xml:space="preserve">miglioramento funzionale e igienico-sanitari</w:t>
      </w:r>
      <w:r w:rsidDel="00000000" w:rsidR="00000000" w:rsidRPr="00000000">
        <w:rPr>
          <w:rtl w:val="0"/>
        </w:rPr>
        <w:t xml:space="preserve">o, </w:t>
      </w:r>
      <w:r w:rsidDel="00000000" w:rsidR="00000000" w:rsidRPr="00000000">
        <w:rPr>
          <w:i w:val="0"/>
          <w:iCs w:val="0"/>
          <w:smallCaps w:val="0"/>
          <w:strike w:val="0"/>
          <w:color w:val="000000"/>
          <w:sz w:val="24"/>
          <w:szCs w:val="24"/>
          <w:u w:val="none"/>
          <w:shd w:fill="auto" w:val="clear"/>
          <w:vertAlign w:val="baseline"/>
          <w:rtl w:val="0"/>
        </w:rPr>
        <w:t xml:space="preserve">efficientamento impiantistico</w:t>
      </w:r>
      <w:r w:rsidDel="00000000" w:rsidR="00000000" w:rsidRPr="00000000">
        <w:rPr>
          <w:rtl w:val="0"/>
        </w:rPr>
        <w:t xml:space="preserve"> e </w:t>
      </w:r>
      <w:r w:rsidDel="00000000" w:rsidR="00000000" w:rsidRPr="00000000">
        <w:rPr>
          <w:i w:val="0"/>
          <w:iCs w:val="0"/>
          <w:smallCaps w:val="0"/>
          <w:strike w:val="0"/>
          <w:color w:val="000000"/>
          <w:sz w:val="24"/>
          <w:szCs w:val="24"/>
          <w:u w:val="none"/>
          <w:shd w:fill="auto" w:val="clear"/>
          <w:vertAlign w:val="baseline"/>
          <w:rtl w:val="0"/>
        </w:rPr>
        <w:t xml:space="preserve">incremento della qualità dei servizi sportivi.</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w:t>
      </w:r>
    </w:p>
    <w:bookmarkStart w:colFirst="0" w:colLast="0" w:name="bookmark=id.ge68rgtlyet4" w:id="9"/>
    <w:bookmarkEnd w:id="9"/>
    <w:p w:rsidR="00000000" w:rsidDel="00000000" w:rsidP="00000000" w:rsidRDefault="00000000" w:rsidRPr="00000000" w14:paraId="00000018">
      <w:pPr>
        <w:pStyle w:val="Heading2"/>
        <w:spacing w:after="0" w:before="0" w:line="276" w:lineRule="auto"/>
        <w:rPr/>
      </w:pPr>
      <w:r w:rsidDel="00000000" w:rsidR="00000000" w:rsidRPr="00000000">
        <w:rPr>
          <w:rtl w:val="0"/>
        </w:rPr>
        <w:t xml:space="preserve">2.2 D.Lgs. 36/2023 – Codice dei Contratti Pubblici</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D.Lgs. 36/2023 disciplina</w:t>
      </w:r>
      <w:r w:rsidDel="00000000" w:rsidR="00000000" w:rsidRPr="00000000">
        <w:rPr>
          <w:rtl w:val="0"/>
        </w:rPr>
        <w:t xml:space="preserve"> </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 lavori pubblici</w:t>
      </w:r>
      <w:r w:rsidDel="00000000" w:rsidR="00000000" w:rsidRPr="00000000">
        <w:rPr>
          <w:rtl w:val="0"/>
        </w:rPr>
        <w:t xml:space="preserve">, </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le concessioni di lavori e servizi</w:t>
      </w:r>
      <w:r w:rsidDel="00000000" w:rsidR="00000000" w:rsidRPr="00000000">
        <w:rPr>
          <w:rtl w:val="0"/>
        </w:rPr>
        <w:t xml:space="preserve">, </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 partenariati pubblico-privati.</w:t>
      </w:r>
    </w:p>
    <w:bookmarkStart w:colFirst="0" w:colLast="0" w:name="bookmark=id.v5cg67pmz0q9" w:id="10"/>
    <w:bookmarkEnd w:id="10"/>
    <w:p w:rsidR="00000000" w:rsidDel="00000000" w:rsidP="00000000" w:rsidRDefault="00000000" w:rsidRPr="00000000" w14:paraId="0000001A">
      <w:pPr>
        <w:pStyle w:val="Heading3"/>
        <w:spacing w:after="0" w:before="0" w:line="276" w:lineRule="auto"/>
        <w:rPr/>
      </w:pPr>
      <w:r w:rsidDel="00000000" w:rsidR="00000000" w:rsidRPr="00000000">
        <w:rPr>
          <w:rtl w:val="0"/>
        </w:rPr>
        <w:t xml:space="preserve">Aspetti rilevanti per la proposta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progetto coinvolge: </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lavori di ristrutturazione edile e impiantistica (parte lavori)</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gestione del palazzetto per attività sportive (parte servizi)</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utilizzo di risorse del concessionario (investimento privato)</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i w:val="0"/>
          <w:iCs w:val="0"/>
          <w:smallCaps w:val="0"/>
          <w:strike w:val="0"/>
          <w:color w:val="000000"/>
          <w:sz w:val="24"/>
          <w:szCs w:val="24"/>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possibile contributo pubblico tramite copertura utenze.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Pertanto, la proposta rientra nella concessione mista di lavori e servizi, come definita dagli artt. 174–181.</w:t>
      </w:r>
    </w:p>
    <w:p w:rsidR="00000000" w:rsidDel="00000000" w:rsidP="00000000" w:rsidRDefault="00000000" w:rsidRPr="00000000" w14:paraId="00000021">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8erqco4keo02" w:id="11"/>
    <w:bookmarkEnd w:id="11"/>
    <w:p w:rsidR="00000000" w:rsidDel="00000000" w:rsidP="00000000" w:rsidRDefault="00000000" w:rsidRPr="00000000" w14:paraId="00000022">
      <w:pPr>
        <w:pStyle w:val="Heading1"/>
        <w:spacing w:after="0" w:before="0" w:line="276" w:lineRule="auto"/>
        <w:rPr>
          <w:b w:val="1"/>
          <w:bCs w:val="1"/>
          <w:sz w:val="32"/>
          <w:szCs w:val="32"/>
        </w:rPr>
      </w:pPr>
      <w:r w:rsidDel="00000000" w:rsidR="00000000" w:rsidRPr="00000000">
        <w:rPr>
          <w:b w:val="1"/>
          <w:bCs w:val="1"/>
          <w:sz w:val="32"/>
          <w:szCs w:val="32"/>
          <w:rtl w:val="0"/>
        </w:rPr>
        <w:t xml:space="preserve">3. COERENZA DELLA PROPOSTA CON IL D.Lgs. 38/2021</w:t>
      </w:r>
    </w:p>
    <w:bookmarkStart w:colFirst="0" w:colLast="0" w:name="bookmark=id.ow9p7ygt0uq7" w:id="12"/>
    <w:bookmarkEnd w:id="12"/>
    <w:p w:rsidR="00000000" w:rsidDel="00000000" w:rsidP="00000000" w:rsidRDefault="00000000" w:rsidRPr="00000000" w14:paraId="00000023">
      <w:pPr>
        <w:pStyle w:val="Heading2"/>
        <w:spacing w:after="0" w:before="0" w:line="276" w:lineRule="auto"/>
        <w:rPr/>
      </w:pPr>
      <w:r w:rsidDel="00000000" w:rsidR="00000000" w:rsidRPr="00000000">
        <w:rPr>
          <w:rtl w:val="0"/>
        </w:rPr>
        <w:t xml:space="preserve">3.1 Ruolo dell’ASD Dinamica Pensare Sport</w:t>
      </w:r>
    </w:p>
    <w:p w:rsidR="00000000" w:rsidDel="00000000" w:rsidP="00000000" w:rsidRDefault="00000000" w:rsidRPr="00000000" w14:paraId="00000024">
      <w:pPr>
        <w:spacing w:after="0" w:before="0" w:line="276" w:lineRule="auto"/>
        <w:rPr/>
      </w:pPr>
      <w:r w:rsidDel="00000000" w:rsidR="00000000" w:rsidRPr="00000000">
        <w:rPr>
          <w:rtl w:val="0"/>
        </w:rPr>
        <w:t xml:space="preserve">Il decreto stabilisce che le associazioni sportive dilettantistiche possano presentare proposte di intervento sugli impianti, investire direttamente nelle strutture e, in seguito, ottenere la loro gestione tramite concessione.</w:t>
      </w:r>
    </w:p>
    <w:p w:rsidR="00000000" w:rsidDel="00000000" w:rsidP="00000000" w:rsidRDefault="00000000" w:rsidRPr="00000000" w14:paraId="00000025">
      <w:pPr>
        <w:spacing w:after="0" w:before="0" w:line="276" w:lineRule="auto"/>
        <w:rPr/>
      </w:pPr>
      <w:r w:rsidDel="00000000" w:rsidR="00000000" w:rsidRPr="00000000">
        <w:rPr>
          <w:rtl w:val="0"/>
        </w:rPr>
        <w:t xml:space="preserve">In questo quadro, l’ASD Dinamica Pensare Sport risulta pienamente legittimata a presentare la propria proposta, impegnandosi inoltre a impiegare risorse proprie per la riqualificazione dell’impianto. L’associazione svolge un’attività sportiva con una forte finalità sociale, perfettamente in linea con gli obiettivi e lo spirito del D.Lgs. 38/2021. </w:t>
      </w:r>
    </w:p>
    <w:bookmarkStart w:colFirst="0" w:colLast="0" w:name="bookmark=id.wer1udc1rurr" w:id="13"/>
    <w:bookmarkEnd w:id="13"/>
    <w:p w:rsidR="00000000" w:rsidDel="00000000" w:rsidP="00000000" w:rsidRDefault="00000000" w:rsidRPr="00000000" w14:paraId="00000026">
      <w:pPr>
        <w:pStyle w:val="Heading2"/>
        <w:spacing w:after="0" w:before="0" w:line="276" w:lineRule="auto"/>
        <w:rPr/>
      </w:pPr>
      <w:r w:rsidDel="00000000" w:rsidR="00000000" w:rsidRPr="00000000">
        <w:rPr>
          <w:rtl w:val="0"/>
        </w:rPr>
        <w:t xml:space="preserve">3.2 Tipologia di intervento</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L’intervento riguarda:</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rifacimento completo degli spogliatoi; </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rinnovamento impianti; </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miglioramento igienico-sanitario; </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incremento della funzionalità.</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Rientra pienamente nelle categorie previste dall’art. 5: riqualificazione</w:t>
      </w:r>
      <w:r w:rsidDel="00000000" w:rsidR="00000000" w:rsidRPr="00000000">
        <w:rPr>
          <w:rtl w:val="0"/>
        </w:rPr>
        <w:t xml:space="preserve">, </w:t>
      </w:r>
      <w:r w:rsidDel="00000000" w:rsidR="00000000" w:rsidRPr="00000000">
        <w:rPr>
          <w:i w:val="0"/>
          <w:iCs w:val="0"/>
          <w:smallCaps w:val="0"/>
          <w:strike w:val="0"/>
          <w:color w:val="000000"/>
          <w:sz w:val="24"/>
          <w:szCs w:val="24"/>
          <w:u w:val="none"/>
          <w:shd w:fill="auto" w:val="clear"/>
          <w:vertAlign w:val="baseline"/>
          <w:rtl w:val="0"/>
        </w:rPr>
        <w:t xml:space="preserve">ammodernamento</w:t>
      </w:r>
      <w:r w:rsidDel="00000000" w:rsidR="00000000" w:rsidRPr="00000000">
        <w:rPr>
          <w:rtl w:val="0"/>
        </w:rPr>
        <w:t xml:space="preserve">, </w:t>
      </w:r>
      <w:r w:rsidDel="00000000" w:rsidR="00000000" w:rsidRPr="00000000">
        <w:rPr>
          <w:i w:val="0"/>
          <w:iCs w:val="0"/>
          <w:smallCaps w:val="0"/>
          <w:strike w:val="0"/>
          <w:color w:val="000000"/>
          <w:sz w:val="24"/>
          <w:szCs w:val="24"/>
          <w:u w:val="none"/>
          <w:shd w:fill="auto" w:val="clear"/>
          <w:vertAlign w:val="baseline"/>
          <w:rtl w:val="0"/>
        </w:rPr>
        <w:t xml:space="preserve">adeguamento normativo</w:t>
      </w:r>
      <w:r w:rsidDel="00000000" w:rsidR="00000000" w:rsidRPr="00000000">
        <w:rPr>
          <w:rtl w:val="0"/>
        </w:rPr>
        <w:t xml:space="preserve">,</w:t>
      </w:r>
      <w:r w:rsidDel="00000000" w:rsidR="00000000" w:rsidRPr="00000000">
        <w:rPr>
          <w:i w:val="0"/>
          <w:iCs w:val="0"/>
          <w:smallCaps w:val="0"/>
          <w:strike w:val="0"/>
          <w:color w:val="000000"/>
          <w:sz w:val="24"/>
          <w:szCs w:val="24"/>
          <w:u w:val="none"/>
          <w:shd w:fill="auto" w:val="clear"/>
          <w:vertAlign w:val="baseline"/>
          <w:rtl w:val="0"/>
        </w:rPr>
        <w:t xml:space="preserve"> intervento migliorativo della sicurezza e fruibilità.</w:t>
      </w:r>
    </w:p>
    <w:bookmarkStart w:colFirst="0" w:colLast="0" w:name="bookmark=id.rhkv7sl6x8d9" w:id="14"/>
    <w:bookmarkEnd w:id="14"/>
    <w:p w:rsidR="00000000" w:rsidDel="00000000" w:rsidP="00000000" w:rsidRDefault="00000000" w:rsidRPr="00000000" w14:paraId="0000002D">
      <w:pPr>
        <w:pStyle w:val="Heading2"/>
        <w:spacing w:after="0" w:before="0" w:line="276" w:lineRule="auto"/>
        <w:rPr/>
      </w:pPr>
      <w:r w:rsidDel="00000000" w:rsidR="00000000" w:rsidRPr="00000000">
        <w:rPr>
          <w:rtl w:val="0"/>
        </w:rPr>
        <w:t xml:space="preserve">3.3 Durata della concessione</w:t>
      </w:r>
    </w:p>
    <w:p w:rsidR="00000000" w:rsidDel="00000000" w:rsidP="00000000" w:rsidRDefault="00000000" w:rsidRPr="00000000" w14:paraId="0000002E">
      <w:pPr>
        <w:pStyle w:val="Heading2"/>
        <w:spacing w:after="0" w:before="0" w:line="276" w:lineRule="auto"/>
        <w:rPr/>
      </w:pPr>
      <w:r w:rsidDel="00000000" w:rsidR="00000000" w:rsidRPr="00000000">
        <w:rPr>
          <w:rFonts w:ascii="Aptos" w:cs="Aptos" w:eastAsia="Aptos" w:hAnsi="Aptos"/>
          <w:color w:val="000000"/>
          <w:sz w:val="24"/>
          <w:szCs w:val="24"/>
          <w:rtl w:val="0"/>
        </w:rPr>
        <w:t xml:space="preserve">La durata proposta di 15 anni risulta adeguata perché proporzionata all’investimento previsto, garantisce la sostenibilità economica dell’intervento e consente il recupero delle spese lungo l’intero ciclo di vita delle opere. Il decreto, infatti, non stabilisce limiti rigidi alla durata delle concessioni, ma richiede che questa sia coerente sotto il profilo economico-finanziario, requisito che in questo caso risulta pienamente soddisfatto. </w:t>
      </w:r>
      <w:r w:rsidDel="00000000" w:rsidR="00000000" w:rsidRPr="00000000">
        <w:rPr>
          <w:rtl w:val="0"/>
        </w:rPr>
      </w:r>
    </w:p>
    <w:p w:rsidR="00000000" w:rsidDel="00000000" w:rsidP="00000000" w:rsidRDefault="00000000" w:rsidRPr="00000000" w14:paraId="0000002F">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xxkpzcb72fn6" w:id="15"/>
    <w:bookmarkEnd w:id="15"/>
    <w:p w:rsidR="00000000" w:rsidDel="00000000" w:rsidP="00000000" w:rsidRDefault="00000000" w:rsidRPr="00000000" w14:paraId="00000030">
      <w:pPr>
        <w:pStyle w:val="Heading1"/>
        <w:spacing w:after="0" w:before="0" w:line="276" w:lineRule="auto"/>
        <w:rPr>
          <w:b w:val="1"/>
          <w:bCs w:val="1"/>
          <w:sz w:val="32"/>
          <w:szCs w:val="32"/>
        </w:rPr>
      </w:pPr>
      <w:r w:rsidDel="00000000" w:rsidR="00000000" w:rsidRPr="00000000">
        <w:rPr>
          <w:b w:val="1"/>
          <w:bCs w:val="1"/>
          <w:sz w:val="32"/>
          <w:szCs w:val="32"/>
          <w:rtl w:val="0"/>
        </w:rPr>
        <w:t xml:space="preserve">4. COERENZA DELLA PROPOSTA CON IL D.Lgs. 36/2023</w:t>
      </w:r>
    </w:p>
    <w:bookmarkStart w:colFirst="0" w:colLast="0" w:name="bookmark=id.85z4r6facpot" w:id="16"/>
    <w:bookmarkEnd w:id="16"/>
    <w:p w:rsidR="00000000" w:rsidDel="00000000" w:rsidP="00000000" w:rsidRDefault="00000000" w:rsidRPr="00000000" w14:paraId="00000031">
      <w:pPr>
        <w:pStyle w:val="Heading2"/>
        <w:spacing w:after="0" w:before="0" w:line="276" w:lineRule="auto"/>
        <w:rPr/>
      </w:pPr>
      <w:r w:rsidDel="00000000" w:rsidR="00000000" w:rsidRPr="00000000">
        <w:rPr>
          <w:rtl w:val="0"/>
        </w:rPr>
        <w:t xml:space="preserve">4.1 Concessione mista di lavori e servizi</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progetto presenta le caratteristiche di una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concessione mista</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lavori di ristrutturazione → rifacimento spogliatoi; </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servizi → gestione continuativa del palazzetto.</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t xml:space="preserve">Il Codice stabilisce che la durata della concessione debba essere proporzionata all’entità degli investimenti da realizzare (art. 178) e che il Piano Economico-Finanziario dimostri il raggiungimento dell’equilibrio economico-finanziario dell’operazione (art. 181). Inoltre, richiede che il gestore assuma il rischio operativo legato alla gestione dell’impianto, come previsto dall’art. 3, lettera zz. </w:t>
      </w:r>
      <w:r w:rsidDel="00000000" w:rsidR="00000000" w:rsidRPr="00000000">
        <w:rPr>
          <w:rtl w:val="0"/>
        </w:rPr>
      </w:r>
    </w:p>
    <w:bookmarkStart w:colFirst="0" w:colLast="0" w:name="bookmark=id.h1mfhwe7nfkw" w:id="17"/>
    <w:bookmarkEnd w:id="17"/>
    <w:p w:rsidR="00000000" w:rsidDel="00000000" w:rsidP="00000000" w:rsidRDefault="00000000" w:rsidRPr="00000000" w14:paraId="00000036">
      <w:pPr>
        <w:pStyle w:val="Heading3"/>
        <w:spacing w:after="0" w:before="0" w:line="276" w:lineRule="auto"/>
        <w:rPr/>
      </w:pPr>
      <w:r w:rsidDel="00000000" w:rsidR="00000000" w:rsidRPr="00000000">
        <w:rPr>
          <w:rtl w:val="0"/>
        </w:rPr>
        <w:t xml:space="preserve">Rispetto dei requisiti</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proposta soddisfa: </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rischio operativo → l’ASD gestisce l’impianto e sostiene i costi di gestione; </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equilibrio economico → garantito dalla durata quindicennale; </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proporzionalità → lavori pertinenti alle finalità dell’impianto.</w:t>
      </w:r>
    </w:p>
    <w:bookmarkStart w:colFirst="0" w:colLast="0" w:name="bookmark=id.8m5mb4mf9x5p" w:id="18"/>
    <w:bookmarkEnd w:id="18"/>
    <w:p w:rsidR="00000000" w:rsidDel="00000000" w:rsidP="00000000" w:rsidRDefault="00000000" w:rsidRPr="00000000" w14:paraId="0000003B">
      <w:pPr>
        <w:pStyle w:val="Heading2"/>
        <w:spacing w:after="0" w:before="0" w:line="276" w:lineRule="auto"/>
        <w:rPr/>
      </w:pPr>
      <w:r w:rsidDel="00000000" w:rsidR="00000000" w:rsidRPr="00000000">
        <w:rPr>
          <w:rtl w:val="0"/>
        </w:rPr>
        <w:t xml:space="preserve">4.2 Utilizzo di materiali conformi ai CAM</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i w:val="0"/>
          <w:iCs w:val="0"/>
          <w:smallCaps w:val="0"/>
          <w:strike w:val="0"/>
          <w:color w:val="000000"/>
          <w:sz w:val="24"/>
          <w:szCs w:val="24"/>
          <w:u w:val="none"/>
          <w:shd w:fill="auto" w:val="clear"/>
          <w:vertAlign w:val="baseline"/>
          <w:rtl w:val="0"/>
        </w:rPr>
        <w:t xml:space="preserve">Il D.Lgs. 36/2023 richiede l’utilizzo dei Criteri Ambientali Minimi (CAM).</w:t>
        <w:br w:type="textWrapping"/>
        <w:t xml:space="preserve">L’intervento: </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prevede materiali conformi; </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include apparecchiature a risparmio idrico; </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migliora l’efficienza energetica; </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riduce la manutenzione futura.</w:t>
      </w:r>
    </w:p>
    <w:bookmarkStart w:colFirst="0" w:colLast="0" w:name="bookmark=id.gm0tsp1rb4w5" w:id="19"/>
    <w:bookmarkEnd w:id="19"/>
    <w:p w:rsidR="00000000" w:rsidDel="00000000" w:rsidP="00000000" w:rsidRDefault="00000000" w:rsidRPr="00000000" w14:paraId="00000041">
      <w:pPr>
        <w:pStyle w:val="Heading2"/>
        <w:spacing w:after="0" w:before="0" w:line="276" w:lineRule="auto"/>
        <w:rPr/>
      </w:pPr>
      <w:r w:rsidDel="00000000" w:rsidR="00000000" w:rsidRPr="00000000">
        <w:rPr>
          <w:rtl w:val="0"/>
        </w:rPr>
        <w:t xml:space="preserve">4.3 Piano di manutenzione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iCs w:val="0"/>
          <w:smallCaps w:val="0"/>
          <w:strike w:val="0"/>
          <w:color w:val="000000"/>
          <w:sz w:val="24"/>
          <w:szCs w:val="24"/>
          <w:u w:val="none"/>
          <w:shd w:fill="auto" w:val="clear"/>
          <w:vertAlign w:val="baseline"/>
        </w:rPr>
      </w:pPr>
      <w:r w:rsidDel="00000000" w:rsidR="00000000" w:rsidRPr="00000000">
        <w:rPr>
          <w:i w:val="0"/>
          <w:iCs w:val="0"/>
          <w:smallCaps w:val="0"/>
          <w:strike w:val="0"/>
          <w:color w:val="000000"/>
          <w:sz w:val="24"/>
          <w:szCs w:val="24"/>
          <w:u w:val="none"/>
          <w:shd w:fill="auto" w:val="clear"/>
          <w:vertAlign w:val="baseline"/>
          <w:rtl w:val="0"/>
        </w:rPr>
        <w:t xml:space="preserve">Il Codice richiede un Piano di Manutenzione dettagliato (già redatto), elemento obbligatorio del fascicolo tecnico.</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proposta è quindi coerente anche sotto il profilo manutentivo.</w:t>
      </w:r>
    </w:p>
    <w:p w:rsidR="00000000" w:rsidDel="00000000" w:rsidP="00000000" w:rsidRDefault="00000000" w:rsidRPr="00000000" w14:paraId="00000044">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bookmarkStart w:colFirst="0" w:colLast="0" w:name="bookmark=id.5fvdy6m692ys" w:id="20"/>
    <w:bookmarkEnd w:id="20"/>
    <w:p w:rsidR="00000000" w:rsidDel="00000000" w:rsidP="00000000" w:rsidRDefault="00000000" w:rsidRPr="00000000" w14:paraId="00000045">
      <w:pPr>
        <w:pStyle w:val="Heading1"/>
        <w:spacing w:after="0" w:before="0" w:line="276" w:lineRule="auto"/>
        <w:rPr/>
      </w:pPr>
      <w:r w:rsidDel="00000000" w:rsidR="00000000" w:rsidRPr="00000000">
        <w:rPr>
          <w:sz w:val="32"/>
          <w:szCs w:val="32"/>
          <w:rtl w:val="0"/>
        </w:rPr>
        <w:t xml:space="preserve">5. COERENZA CON LE FINALITÀ PUBBLICHE</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L’intervento rispetta gli obiettivi generali delle normative: </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migliorare la qualità dell’impiantistica sportiva pubblica; </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garantire sicurezza e salubrità degli ambienti; </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favorire l’accesso alla pratica sportiva per tutte le fasce di età; </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preservare il patrimonio comunale; </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potenziare l’offerta sportiva sul territorio.</w:t>
      </w:r>
    </w:p>
    <w:p w:rsidR="00000000" w:rsidDel="00000000" w:rsidP="00000000" w:rsidRDefault="00000000" w:rsidRPr="00000000" w14:paraId="0000004C">
      <w:pPr>
        <w:spacing w:after="0" w:before="0" w:line="276"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20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Rule="auto"/>
      <w:jc w:val="center"/>
    </w:pPr>
    <w:rPr>
      <w:rFonts w:ascii="Play" w:cs="Play" w:eastAsia="Play" w:hAnsi="Play"/>
      <w:sz w:val="56"/>
      <w:szCs w:val="56"/>
    </w:rPr>
  </w:style>
  <w:style w:type="paragraph" w:styleId="Titolo7">
    <w:name w:val="heading 7"/>
    <w:basedOn w:val="Normale"/>
    <w:next w:val="Corpotesto"/>
    <w:link w:val="Titolo7Carattere"/>
    <w:uiPriority w:val="9"/>
    <w:semiHidden w:val="1"/>
    <w:unhideWhenUsed w:val="1"/>
    <w:qFormat w:val="1"/>
    <w:rsid w:val="00A10FD9"/>
    <w:pPr>
      <w:keepNext w:val="1"/>
      <w:keepLines w:val="1"/>
      <w:spacing w:after="0" w:before="40"/>
      <w:outlineLvl w:val="6"/>
    </w:pPr>
    <w:rPr>
      <w:rFonts w:cstheme="majorBidi" w:eastAsiaTheme="majorEastAsia"/>
      <w:color w:val="595959" w:themeColor="text1" w:themeTint="0000A6"/>
    </w:rPr>
  </w:style>
  <w:style w:type="paragraph" w:styleId="Titolo8">
    <w:name w:val="heading 8"/>
    <w:basedOn w:val="Normale"/>
    <w:next w:val="Corpotesto"/>
    <w:link w:val="Titolo8Carattere"/>
    <w:uiPriority w:val="9"/>
    <w:semiHidden w:val="1"/>
    <w:unhideWhenUsed w:val="1"/>
    <w:qFormat w:val="1"/>
    <w:rsid w:val="00A10FD9"/>
    <w:pPr>
      <w:keepNext w:val="1"/>
      <w:keepLines w:val="1"/>
      <w:spacing w:after="0"/>
      <w:outlineLvl w:val="7"/>
    </w:pPr>
    <w:rPr>
      <w:rFonts w:cstheme="majorBidi" w:eastAsiaTheme="majorEastAsia"/>
      <w:i w:val="1"/>
      <w:iCs w:val="1"/>
      <w:color w:val="272727" w:themeColor="text1" w:themeTint="0000D8"/>
    </w:rPr>
  </w:style>
  <w:style w:type="paragraph" w:styleId="Titolo9">
    <w:name w:val="heading 9"/>
    <w:basedOn w:val="Normale"/>
    <w:next w:val="Corpotesto"/>
    <w:link w:val="Titolo9Carattere"/>
    <w:uiPriority w:val="9"/>
    <w:semiHidden w:val="1"/>
    <w:unhideWhenUsed w:val="1"/>
    <w:qFormat w:val="1"/>
    <w:rsid w:val="00A10FD9"/>
    <w:pPr>
      <w:keepNext w:val="1"/>
      <w:keepLines w:val="1"/>
      <w:spacing w:after="0"/>
      <w:outlineLvl w:val="8"/>
    </w:pPr>
    <w:rPr>
      <w:rFonts w:cstheme="majorBidi" w:eastAsiaTheme="majorEastAsia"/>
      <w:color w:val="272727" w:themeColor="text1" w:themeTint="0000D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qFormat w:val="1"/>
    <w:pPr>
      <w:spacing w:after="180" w:before="180"/>
    </w:pPr>
  </w:style>
  <w:style w:type="paragraph" w:styleId="FirstParagraph" w:customStyle="1">
    <w:name w:val="First Paragraph"/>
    <w:basedOn w:val="Corpotesto"/>
    <w:next w:val="Corpotesto"/>
    <w:qFormat w:val="1"/>
  </w:style>
  <w:style w:type="paragraph" w:styleId="Compact" w:customStyle="1">
    <w:name w:val="Compact"/>
    <w:basedOn w:val="Corpotesto"/>
    <w:qFormat w:val="1"/>
    <w:pPr>
      <w:spacing w:after="36" w:before="36"/>
    </w:pPr>
  </w:style>
  <w:style w:type="character" w:styleId="TitoloCarattere" w:customStyle="1">
    <w:name w:val="Titolo Carattere"/>
    <w:basedOn w:val="Carpredefinitoparagrafo"/>
    <w:link w:val="Titolo"/>
    <w:uiPriority w:val="10"/>
    <w:rsid w:val="00A10FD9"/>
    <w:rPr>
      <w:rFonts w:asciiTheme="majorHAnsi" w:cstheme="majorBidi" w:eastAsiaTheme="majorEastAsia" w:hAnsiTheme="majorHAnsi"/>
      <w:spacing w:val="-10"/>
      <w:kern w:val="28"/>
      <w:sz w:val="56"/>
      <w:szCs w:val="56"/>
    </w:rPr>
  </w:style>
  <w:style w:type="character" w:styleId="SottotitoloCarattere" w:customStyle="1">
    <w:name w:val="Sottotitolo Carattere"/>
    <w:basedOn w:val="Carpredefinitoparagrafo"/>
    <w:link w:val="Sottotitolo"/>
    <w:uiPriority w:val="11"/>
    <w:rsid w:val="00A10FD9"/>
    <w:rPr>
      <w:rFonts w:cstheme="majorBidi" w:eastAsiaTheme="majorEastAsia"/>
      <w:color w:val="595959" w:themeColor="text1" w:themeTint="0000A6"/>
      <w:spacing w:val="15"/>
      <w:sz w:val="28"/>
      <w:szCs w:val="28"/>
    </w:rPr>
  </w:style>
  <w:style w:type="paragraph" w:styleId="Author" w:customStyle="1">
    <w:name w:val="Author"/>
    <w:next w:val="Corpotesto"/>
    <w:qFormat w:val="1"/>
    <w:pPr>
      <w:keepNext w:val="1"/>
      <w:keepLines w:val="1"/>
      <w:jc w:val="center"/>
    </w:pPr>
  </w:style>
  <w:style w:type="paragraph" w:styleId="Data">
    <w:name w:val="Date"/>
    <w:next w:val="Corpotesto"/>
    <w:qFormat w:val="1"/>
    <w:pPr>
      <w:keepNext w:val="1"/>
      <w:keepLines w:val="1"/>
      <w:jc w:val="center"/>
    </w:pPr>
  </w:style>
  <w:style w:type="paragraph" w:styleId="AbstractTitle" w:customStyle="1">
    <w:name w:val="Abstract Title"/>
    <w:basedOn w:val="Normale"/>
    <w:next w:val="Abstract"/>
    <w:qFormat w:val="1"/>
    <w:pPr>
      <w:keepNext w:val="1"/>
      <w:keepLines w:val="1"/>
      <w:spacing w:after="0" w:before="300"/>
      <w:jc w:val="center"/>
    </w:pPr>
    <w:rPr>
      <w:b w:val="1"/>
      <w:sz w:val="20"/>
      <w:szCs w:val="20"/>
    </w:rPr>
  </w:style>
  <w:style w:type="paragraph" w:styleId="Abstract" w:customStyle="1">
    <w:name w:val="Abstract"/>
    <w:basedOn w:val="Normale"/>
    <w:next w:val="Corpotesto"/>
    <w:qFormat w:val="1"/>
    <w:pPr>
      <w:keepNext w:val="1"/>
      <w:keepLines w:val="1"/>
      <w:spacing w:after="300" w:before="100"/>
    </w:pPr>
    <w:rPr>
      <w:sz w:val="20"/>
      <w:szCs w:val="20"/>
    </w:rPr>
  </w:style>
  <w:style w:type="paragraph" w:styleId="Bibliografia">
    <w:name w:val="Bibliography"/>
    <w:basedOn w:val="Normale"/>
    <w:qFormat w:val="1"/>
  </w:style>
  <w:style w:type="character" w:styleId="Titolo1Carattere" w:customStyle="1">
    <w:name w:val="Titolo 1 Carattere"/>
    <w:basedOn w:val="Carpredefinitoparagrafo"/>
    <w:link w:val="Titolo1"/>
    <w:uiPriority w:val="9"/>
    <w:rsid w:val="00A10FD9"/>
    <w:rPr>
      <w:rFonts w:asciiTheme="majorHAnsi" w:cstheme="majorBidi" w:eastAsiaTheme="majorEastAsia" w:hAnsiTheme="majorHAnsi"/>
      <w:color w:val="0f4761" w:themeColor="accent1" w:themeShade="0000BF"/>
      <w:sz w:val="40"/>
      <w:szCs w:val="40"/>
    </w:rPr>
  </w:style>
  <w:style w:type="character" w:styleId="Titolo2Carattere" w:customStyle="1">
    <w:name w:val="Titolo 2 Carattere"/>
    <w:basedOn w:val="Carpredefinitoparagrafo"/>
    <w:link w:val="Titolo2"/>
    <w:uiPriority w:val="9"/>
    <w:semiHidden w:val="1"/>
    <w:rsid w:val="00A10FD9"/>
    <w:rPr>
      <w:rFonts w:asciiTheme="majorHAnsi" w:cstheme="majorBidi" w:eastAsiaTheme="majorEastAsia" w:hAnsiTheme="majorHAnsi"/>
      <w:color w:val="0f4761" w:themeColor="accent1" w:themeShade="0000BF"/>
      <w:sz w:val="32"/>
      <w:szCs w:val="32"/>
    </w:rPr>
  </w:style>
  <w:style w:type="character" w:styleId="Titolo3Carattere" w:customStyle="1">
    <w:name w:val="Titolo 3 Carattere"/>
    <w:basedOn w:val="Carpredefinitoparagrafo"/>
    <w:link w:val="Titolo3"/>
    <w:uiPriority w:val="9"/>
    <w:semiHidden w:val="1"/>
    <w:rsid w:val="00A10FD9"/>
    <w:rPr>
      <w:rFonts w:cstheme="majorBidi" w:eastAsiaTheme="majorEastAsia"/>
      <w:color w:val="0f4761" w:themeColor="accent1" w:themeShade="0000BF"/>
      <w:sz w:val="28"/>
      <w:szCs w:val="28"/>
    </w:rPr>
  </w:style>
  <w:style w:type="character" w:styleId="Titolo4Carattere" w:customStyle="1">
    <w:name w:val="Titolo 4 Carattere"/>
    <w:basedOn w:val="Carpredefinitoparagrafo"/>
    <w:link w:val="Titolo4"/>
    <w:uiPriority w:val="9"/>
    <w:semiHidden w:val="1"/>
    <w:rsid w:val="00A10FD9"/>
    <w:rPr>
      <w:rFonts w:cstheme="majorBidi" w:eastAsiaTheme="majorEastAsia"/>
      <w:i w:val="1"/>
      <w:iCs w:val="1"/>
      <w:color w:val="0f4761" w:themeColor="accent1" w:themeShade="0000BF"/>
    </w:rPr>
  </w:style>
  <w:style w:type="character" w:styleId="Titolo5Carattere" w:customStyle="1">
    <w:name w:val="Titolo 5 Carattere"/>
    <w:basedOn w:val="Carpredefinitoparagrafo"/>
    <w:link w:val="Titolo5"/>
    <w:uiPriority w:val="9"/>
    <w:semiHidden w:val="1"/>
    <w:rsid w:val="00A10FD9"/>
    <w:rPr>
      <w:rFonts w:cstheme="majorBidi" w:eastAsiaTheme="majorEastAsia"/>
      <w:color w:val="0f4761" w:themeColor="accent1" w:themeShade="0000BF"/>
    </w:rPr>
  </w:style>
  <w:style w:type="character" w:styleId="Titolo6Carattere" w:customStyle="1">
    <w:name w:val="Titolo 6 Carattere"/>
    <w:basedOn w:val="Carpredefinitoparagrafo"/>
    <w:link w:val="Titolo6"/>
    <w:uiPriority w:val="9"/>
    <w:semiHidden w:val="1"/>
    <w:rsid w:val="00A10FD9"/>
    <w:rPr>
      <w:rFonts w:cstheme="majorBidi" w:eastAsiaTheme="majorEastAsia"/>
      <w:i w:val="1"/>
      <w:iCs w:val="1"/>
      <w:color w:val="595959" w:themeColor="text1" w:themeTint="0000A6"/>
    </w:rPr>
  </w:style>
  <w:style w:type="character" w:styleId="Titolo7Carattere" w:customStyle="1">
    <w:name w:val="Titolo 7 Carattere"/>
    <w:basedOn w:val="Carpredefinitoparagrafo"/>
    <w:link w:val="Titolo7"/>
    <w:uiPriority w:val="9"/>
    <w:semiHidden w:val="1"/>
    <w:rsid w:val="00A10FD9"/>
    <w:rPr>
      <w:rFonts w:cstheme="majorBidi" w:eastAsiaTheme="majorEastAsia"/>
      <w:color w:val="595959" w:themeColor="text1" w:themeTint="0000A6"/>
    </w:rPr>
  </w:style>
  <w:style w:type="character" w:styleId="Titolo8Carattere" w:customStyle="1">
    <w:name w:val="Titolo 8 Carattere"/>
    <w:basedOn w:val="Carpredefinitoparagrafo"/>
    <w:link w:val="Titolo8"/>
    <w:uiPriority w:val="9"/>
    <w:semiHidden w:val="1"/>
    <w:rsid w:val="00A10FD9"/>
    <w:rPr>
      <w:rFonts w:cstheme="majorBidi" w:eastAsiaTheme="majorEastAsia"/>
      <w:i w:val="1"/>
      <w:iCs w:val="1"/>
      <w:color w:val="272727" w:themeColor="text1" w:themeTint="0000D8"/>
    </w:rPr>
  </w:style>
  <w:style w:type="character" w:styleId="Titolo9Carattere" w:customStyle="1">
    <w:name w:val="Titolo 9 Carattere"/>
    <w:basedOn w:val="Carpredefinitoparagrafo"/>
    <w:link w:val="Titolo9"/>
    <w:uiPriority w:val="9"/>
    <w:semiHidden w:val="1"/>
    <w:rsid w:val="00A10FD9"/>
    <w:rPr>
      <w:rFonts w:cstheme="majorBidi" w:eastAsiaTheme="majorEastAsia"/>
      <w:color w:val="272727" w:themeColor="text1" w:themeTint="0000D8"/>
    </w:rPr>
  </w:style>
  <w:style w:type="paragraph" w:styleId="Testodelblocco">
    <w:name w:val="Block Text"/>
    <w:basedOn w:val="Corpotesto"/>
    <w:next w:val="Corpotesto"/>
    <w:uiPriority w:val="9"/>
    <w:unhideWhenUsed w:val="1"/>
    <w:qFormat w:val="1"/>
    <w:pPr>
      <w:spacing w:after="100" w:before="100"/>
      <w:ind w:left="480" w:right="480"/>
    </w:pPr>
  </w:style>
  <w:style w:type="paragraph" w:styleId="Testonotaapidipagina">
    <w:name w:val="footnote text"/>
    <w:basedOn w:val="Normale"/>
    <w:uiPriority w:val="9"/>
    <w:unhideWhenUsed w:val="1"/>
    <w:qFormat w:val="1"/>
  </w:style>
  <w:style w:type="paragraph" w:styleId="FootnoteBlockText" w:customStyle="1">
    <w:name w:val="Footnote Block Text"/>
    <w:basedOn w:val="Testonotaapidipagina"/>
    <w:next w:val="Testonotaapidipagina"/>
    <w:uiPriority w:val="9"/>
    <w:unhideWhenUsed w:val="1"/>
    <w:qFormat w:val="1"/>
    <w:pPr>
      <w:spacing w:after="100" w:before="100"/>
      <w:ind w:left="480" w:right="480"/>
    </w:pPr>
  </w:style>
  <w:style w:type="table" w:styleId="Table" w:customStyle="1">
    <w:name w:val="Table"/>
    <w:semiHidden w:val="1"/>
    <w:unhideWhenUsed w:val="1"/>
    <w:qFormat w:val="1"/>
    <w:tblPr>
      <w:tblInd w:w="0.0" w:type="dxa"/>
      <w:tblCellMar>
        <w:top w:w="0.0" w:type="dxa"/>
        <w:left w:w="108.0" w:type="dxa"/>
        <w:bottom w:w="0.0" w:type="dxa"/>
        <w:right w:w="108.0" w:type="dxa"/>
      </w:tblCellMar>
    </w:tblPr>
    <w:tblStylePr w:type="firstRow">
      <w:tblPr>
        <w:jc w:val="left"/>
      </w:tblPr>
      <w:trPr>
        <w:jc w:val="left"/>
      </w:trPr>
      <w:tcPr>
        <w:tcBorders>
          <w:bottom w:color="auto" w:space="0" w:sz="0" w:val="single"/>
        </w:tcBorders>
        <w:vAlign w:val="bottom"/>
      </w:tcPr>
    </w:tblStylePr>
  </w:style>
  <w:style w:type="paragraph" w:styleId="DefinitionTerm" w:customStyle="1">
    <w:name w:val="Definition Term"/>
    <w:basedOn w:val="Normale"/>
    <w:next w:val="Definition"/>
    <w:pPr>
      <w:keepNext w:val="1"/>
      <w:keepLines w:val="1"/>
      <w:spacing w:after="0"/>
    </w:pPr>
    <w:rPr>
      <w:b w:val="1"/>
    </w:rPr>
  </w:style>
  <w:style w:type="paragraph" w:styleId="Definition" w:customStyle="1">
    <w:name w:val="Definition"/>
    <w:basedOn w:val="Normale"/>
  </w:style>
  <w:style w:type="paragraph" w:styleId="Didascalia">
    <w:name w:val="caption"/>
    <w:basedOn w:val="Normale"/>
    <w:link w:val="DidascaliaCarattere"/>
    <w:pPr>
      <w:spacing w:after="120"/>
    </w:pPr>
    <w:rPr>
      <w:i w:val="1"/>
    </w:rPr>
  </w:style>
  <w:style w:type="paragraph" w:styleId="TableCaption" w:customStyle="1">
    <w:name w:val="Table Caption"/>
    <w:basedOn w:val="Didascalia"/>
    <w:pPr>
      <w:keepNext w:val="1"/>
    </w:pPr>
  </w:style>
  <w:style w:type="paragraph" w:styleId="ImageCaption" w:customStyle="1">
    <w:name w:val="Image Caption"/>
    <w:basedOn w:val="Didascalia"/>
  </w:style>
  <w:style w:type="paragraph" w:styleId="Figure" w:customStyle="1">
    <w:name w:val="Figure"/>
    <w:basedOn w:val="Normale"/>
  </w:style>
  <w:style w:type="paragraph" w:styleId="CaptionedFigure" w:customStyle="1">
    <w:name w:val="Captioned Figure"/>
    <w:basedOn w:val="Figure"/>
    <w:pPr>
      <w:keepNext w:val="1"/>
    </w:pPr>
  </w:style>
  <w:style w:type="character" w:styleId="DidascaliaCarattere" w:customStyle="1">
    <w:name w:val="Didascalia Carattere"/>
    <w:basedOn w:val="Carpredefinitoparagrafo"/>
    <w:link w:val="Didascalia"/>
  </w:style>
  <w:style w:type="character" w:styleId="VerbatimChar" w:customStyle="1">
    <w:name w:val="Verbatim Char"/>
    <w:basedOn w:val="DidascaliaCarattere"/>
    <w:link w:val="SourceCode"/>
    <w:rPr>
      <w:rFonts w:ascii="Consolas" w:hAnsi="Consolas"/>
      <w:sz w:val="22"/>
    </w:rPr>
  </w:style>
  <w:style w:type="character" w:styleId="SectionNumber" w:customStyle="1">
    <w:name w:val="Section Number"/>
    <w:basedOn w:val="DidascaliaCarattere"/>
  </w:style>
  <w:style w:type="character" w:styleId="Rimandonotaapidipagina">
    <w:name w:val="footnote reference"/>
    <w:basedOn w:val="DidascaliaCarattere"/>
    <w:rPr>
      <w:vertAlign w:val="superscript"/>
    </w:rPr>
  </w:style>
  <w:style w:type="character" w:styleId="Collegamentoipertestuale">
    <w:name w:val="Hyperlink"/>
    <w:basedOn w:val="DidascaliaCarattere"/>
    <w:rPr>
      <w:color w:val="156082" w:themeColor="accent1"/>
    </w:rPr>
  </w:style>
  <w:style w:type="paragraph" w:styleId="Titolosommario">
    <w:name w:val="TOC Heading"/>
    <w:basedOn w:val="Titolo1"/>
    <w:next w:val="Corpotesto"/>
    <w:uiPriority w:val="39"/>
    <w:unhideWhenUsed w:val="1"/>
    <w:qFormat w:val="1"/>
    <w:pPr>
      <w:spacing w:before="240" w:line="259" w:lineRule="auto"/>
      <w:outlineLvl w:val="9"/>
    </w:pPr>
  </w:style>
  <w:style w:type="paragraph" w:styleId="SourceCode" w:customStyle="1">
    <w:name w:val="Source Code"/>
    <w:basedOn w:val="Normale"/>
    <w:link w:val="VerbatimChar"/>
    <w:pPr>
      <w:wordWrap w:val="0"/>
    </w:pPr>
  </w:style>
  <w:style w:type="character" w:styleId="KeywordTok" w:customStyle="1">
    <w:name w:val="KeywordTok"/>
    <w:basedOn w:val="VerbatimChar"/>
    <w:rPr>
      <w:rFonts w:ascii="Consolas" w:hAnsi="Consolas"/>
      <w:b w:val="1"/>
      <w:color w:val="007020"/>
      <w:sz w:val="22"/>
    </w:rPr>
  </w:style>
  <w:style w:type="character" w:styleId="DataTypeTok" w:customStyle="1">
    <w:name w:val="DataTypeTok"/>
    <w:basedOn w:val="VerbatimChar"/>
    <w:rPr>
      <w:rFonts w:ascii="Consolas" w:hAnsi="Consolas"/>
      <w:color w:val="902000"/>
      <w:sz w:val="22"/>
    </w:rPr>
  </w:style>
  <w:style w:type="character" w:styleId="DecValTok" w:customStyle="1">
    <w:name w:val="DecValTok"/>
    <w:basedOn w:val="VerbatimChar"/>
    <w:rPr>
      <w:rFonts w:ascii="Consolas" w:hAnsi="Consolas"/>
      <w:color w:val="40a070"/>
      <w:sz w:val="22"/>
    </w:rPr>
  </w:style>
  <w:style w:type="character" w:styleId="BaseNTok" w:customStyle="1">
    <w:name w:val="BaseNTok"/>
    <w:basedOn w:val="VerbatimChar"/>
    <w:rPr>
      <w:rFonts w:ascii="Consolas" w:hAnsi="Consolas"/>
      <w:color w:val="40a070"/>
      <w:sz w:val="22"/>
    </w:rPr>
  </w:style>
  <w:style w:type="character" w:styleId="FloatTok" w:customStyle="1">
    <w:name w:val="FloatTok"/>
    <w:basedOn w:val="VerbatimChar"/>
    <w:rPr>
      <w:rFonts w:ascii="Consolas" w:hAnsi="Consolas"/>
      <w:color w:val="40a070"/>
      <w:sz w:val="22"/>
    </w:rPr>
  </w:style>
  <w:style w:type="character" w:styleId="ConstantTok" w:customStyle="1">
    <w:name w:val="ConstantTok"/>
    <w:basedOn w:val="VerbatimChar"/>
    <w:rPr>
      <w:rFonts w:ascii="Consolas" w:hAnsi="Consolas"/>
      <w:color w:val="880000"/>
      <w:sz w:val="22"/>
    </w:rPr>
  </w:style>
  <w:style w:type="character" w:styleId="CharTok" w:customStyle="1">
    <w:name w:val="CharTok"/>
    <w:basedOn w:val="VerbatimChar"/>
    <w:rPr>
      <w:rFonts w:ascii="Consolas" w:hAnsi="Consolas"/>
      <w:color w:val="4070a0"/>
      <w:sz w:val="22"/>
    </w:rPr>
  </w:style>
  <w:style w:type="character" w:styleId="SpecialCharTok" w:customStyle="1">
    <w:name w:val="SpecialCharTok"/>
    <w:basedOn w:val="VerbatimChar"/>
    <w:rPr>
      <w:rFonts w:ascii="Consolas" w:hAnsi="Consolas"/>
      <w:color w:val="4070a0"/>
      <w:sz w:val="22"/>
    </w:rPr>
  </w:style>
  <w:style w:type="character" w:styleId="StringTok" w:customStyle="1">
    <w:name w:val="StringTok"/>
    <w:basedOn w:val="VerbatimChar"/>
    <w:rPr>
      <w:rFonts w:ascii="Consolas" w:hAnsi="Consolas"/>
      <w:color w:val="4070a0"/>
      <w:sz w:val="22"/>
    </w:rPr>
  </w:style>
  <w:style w:type="character" w:styleId="VerbatimStringTok" w:customStyle="1">
    <w:name w:val="VerbatimStringTok"/>
    <w:basedOn w:val="VerbatimChar"/>
    <w:rPr>
      <w:rFonts w:ascii="Consolas" w:hAnsi="Consolas"/>
      <w:color w:val="4070a0"/>
      <w:sz w:val="22"/>
    </w:rPr>
  </w:style>
  <w:style w:type="character" w:styleId="SpecialStringTok" w:customStyle="1">
    <w:name w:val="SpecialStringTok"/>
    <w:basedOn w:val="VerbatimChar"/>
    <w:rPr>
      <w:rFonts w:ascii="Consolas" w:hAnsi="Consolas"/>
      <w:color w:val="bb6688"/>
      <w:sz w:val="22"/>
    </w:rPr>
  </w:style>
  <w:style w:type="character" w:styleId="ImportTok" w:customStyle="1">
    <w:name w:val="ImportTok"/>
    <w:basedOn w:val="VerbatimChar"/>
    <w:rPr>
      <w:rFonts w:ascii="Consolas" w:hAnsi="Consolas"/>
      <w:b w:val="1"/>
      <w:color w:val="008000"/>
      <w:sz w:val="22"/>
    </w:rPr>
  </w:style>
  <w:style w:type="character" w:styleId="CommentTok" w:customStyle="1">
    <w:name w:val="CommentTok"/>
    <w:basedOn w:val="VerbatimChar"/>
    <w:rPr>
      <w:rFonts w:ascii="Consolas" w:hAnsi="Consolas"/>
      <w:i w:val="1"/>
      <w:color w:val="60a0b0"/>
      <w:sz w:val="22"/>
    </w:rPr>
  </w:style>
  <w:style w:type="character" w:styleId="DocumentationTok" w:customStyle="1">
    <w:name w:val="DocumentationTok"/>
    <w:basedOn w:val="VerbatimChar"/>
    <w:rPr>
      <w:rFonts w:ascii="Consolas" w:hAnsi="Consolas"/>
      <w:i w:val="1"/>
      <w:color w:val="ba2121"/>
      <w:sz w:val="22"/>
    </w:rPr>
  </w:style>
  <w:style w:type="character" w:styleId="AnnotationTok" w:customStyle="1">
    <w:name w:val="AnnotationTok"/>
    <w:basedOn w:val="VerbatimChar"/>
    <w:rPr>
      <w:rFonts w:ascii="Consolas" w:hAnsi="Consolas"/>
      <w:b w:val="1"/>
      <w:i w:val="1"/>
      <w:color w:val="60a0b0"/>
      <w:sz w:val="22"/>
    </w:rPr>
  </w:style>
  <w:style w:type="character" w:styleId="CommentVarTok" w:customStyle="1">
    <w:name w:val="CommentVarTok"/>
    <w:basedOn w:val="VerbatimChar"/>
    <w:rPr>
      <w:rFonts w:ascii="Consolas" w:hAnsi="Consolas"/>
      <w:b w:val="1"/>
      <w:i w:val="1"/>
      <w:color w:val="60a0b0"/>
      <w:sz w:val="22"/>
    </w:rPr>
  </w:style>
  <w:style w:type="character" w:styleId="OtherTok" w:customStyle="1">
    <w:name w:val="OtherTok"/>
    <w:basedOn w:val="VerbatimChar"/>
    <w:rPr>
      <w:rFonts w:ascii="Consolas" w:hAnsi="Consolas"/>
      <w:color w:val="007020"/>
      <w:sz w:val="22"/>
    </w:rPr>
  </w:style>
  <w:style w:type="character" w:styleId="FunctionTok" w:customStyle="1">
    <w:name w:val="FunctionTok"/>
    <w:basedOn w:val="VerbatimChar"/>
    <w:rPr>
      <w:rFonts w:ascii="Consolas" w:hAnsi="Consolas"/>
      <w:color w:val="06287e"/>
      <w:sz w:val="22"/>
    </w:rPr>
  </w:style>
  <w:style w:type="character" w:styleId="VariableTok" w:customStyle="1">
    <w:name w:val="VariableTok"/>
    <w:basedOn w:val="VerbatimChar"/>
    <w:rPr>
      <w:rFonts w:ascii="Consolas" w:hAnsi="Consolas"/>
      <w:color w:val="19177c"/>
      <w:sz w:val="22"/>
    </w:rPr>
  </w:style>
  <w:style w:type="character" w:styleId="ControlFlowTok" w:customStyle="1">
    <w:name w:val="ControlFlowTok"/>
    <w:basedOn w:val="VerbatimChar"/>
    <w:rPr>
      <w:rFonts w:ascii="Consolas" w:hAnsi="Consolas"/>
      <w:b w:val="1"/>
      <w:color w:val="007020"/>
      <w:sz w:val="22"/>
    </w:rPr>
  </w:style>
  <w:style w:type="character" w:styleId="OperatorTok" w:customStyle="1">
    <w:name w:val="OperatorTok"/>
    <w:basedOn w:val="VerbatimChar"/>
    <w:rPr>
      <w:rFonts w:ascii="Consolas" w:hAnsi="Consolas"/>
      <w:color w:val="666666"/>
      <w:sz w:val="22"/>
    </w:rPr>
  </w:style>
  <w:style w:type="character" w:styleId="BuiltInTok" w:customStyle="1">
    <w:name w:val="BuiltInTok"/>
    <w:basedOn w:val="VerbatimChar"/>
    <w:rPr>
      <w:rFonts w:ascii="Consolas" w:hAnsi="Consolas"/>
      <w:color w:val="008000"/>
      <w:sz w:val="22"/>
    </w:rPr>
  </w:style>
  <w:style w:type="character" w:styleId="ExtensionTok" w:customStyle="1">
    <w:name w:val="ExtensionTok"/>
    <w:basedOn w:val="VerbatimChar"/>
    <w:rPr>
      <w:rFonts w:ascii="Consolas" w:hAnsi="Consolas"/>
      <w:sz w:val="22"/>
    </w:rPr>
  </w:style>
  <w:style w:type="character" w:styleId="PreprocessorTok" w:customStyle="1">
    <w:name w:val="PreprocessorTok"/>
    <w:basedOn w:val="VerbatimChar"/>
    <w:rPr>
      <w:rFonts w:ascii="Consolas" w:hAnsi="Consolas"/>
      <w:color w:val="bc7a00"/>
      <w:sz w:val="22"/>
    </w:rPr>
  </w:style>
  <w:style w:type="character" w:styleId="AttributeTok" w:customStyle="1">
    <w:name w:val="AttributeTok"/>
    <w:basedOn w:val="VerbatimChar"/>
    <w:rPr>
      <w:rFonts w:ascii="Consolas" w:hAnsi="Consolas"/>
      <w:color w:val="7d9029"/>
      <w:sz w:val="22"/>
    </w:rPr>
  </w:style>
  <w:style w:type="character" w:styleId="RegionMarkerTok" w:customStyle="1">
    <w:name w:val="RegionMarkerTok"/>
    <w:basedOn w:val="VerbatimChar"/>
    <w:rPr>
      <w:rFonts w:ascii="Consolas" w:hAnsi="Consolas"/>
      <w:sz w:val="22"/>
    </w:rPr>
  </w:style>
  <w:style w:type="character" w:styleId="InformationTok" w:customStyle="1">
    <w:name w:val="InformationTok"/>
    <w:basedOn w:val="VerbatimChar"/>
    <w:rPr>
      <w:rFonts w:ascii="Consolas" w:hAnsi="Consolas"/>
      <w:b w:val="1"/>
      <w:i w:val="1"/>
      <w:color w:val="60a0b0"/>
      <w:sz w:val="22"/>
    </w:rPr>
  </w:style>
  <w:style w:type="character" w:styleId="WarningTok" w:customStyle="1">
    <w:name w:val="WarningTok"/>
    <w:basedOn w:val="VerbatimChar"/>
    <w:rPr>
      <w:rFonts w:ascii="Consolas" w:hAnsi="Consolas"/>
      <w:b w:val="1"/>
      <w:i w:val="1"/>
      <w:color w:val="60a0b0"/>
      <w:sz w:val="22"/>
    </w:rPr>
  </w:style>
  <w:style w:type="character" w:styleId="AlertTok" w:customStyle="1">
    <w:name w:val="AlertTok"/>
    <w:basedOn w:val="VerbatimChar"/>
    <w:rPr>
      <w:rFonts w:ascii="Consolas" w:hAnsi="Consolas"/>
      <w:b w:val="1"/>
      <w:color w:val="ff0000"/>
      <w:sz w:val="22"/>
    </w:rPr>
  </w:style>
  <w:style w:type="character" w:styleId="ErrorTok" w:customStyle="1">
    <w:name w:val="ErrorTok"/>
    <w:basedOn w:val="VerbatimChar"/>
    <w:rPr>
      <w:rFonts w:ascii="Consolas" w:hAnsi="Consolas"/>
      <w:b w:val="1"/>
      <w:color w:val="ff0000"/>
      <w:sz w:val="22"/>
    </w:rPr>
  </w:style>
  <w:style w:type="character" w:styleId="NormalTok" w:customStyle="1">
    <w:name w:val="NormalTok"/>
    <w:basedOn w:val="VerbatimChar"/>
    <w:rPr>
      <w:rFonts w:ascii="Consolas" w:hAnsi="Consolas"/>
      <w:sz w:val="22"/>
    </w:rPr>
  </w:style>
  <w:style w:type="paragraph" w:styleId="Subtitle">
    <w:name w:val="Subtitle"/>
    <w:basedOn w:val="Normal"/>
    <w:next w:val="Normal"/>
    <w:pPr>
      <w:spacing w:after="80" w:lineRule="auto"/>
      <w:jc w:val="center"/>
    </w:pPr>
    <w:rPr>
      <w:rFonts w:ascii="Play" w:cs="Play" w:eastAsia="Play" w:hAnsi="Play"/>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i0gu+zK3ib8f+C7u1hws8ds4Gg==">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2025-12-02T07:24:00Z</dcterms:created>
  <dc:creator>Paola Perani</dc:creator>
</cp:coreProperties>
</file>